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D152E" w14:textId="40079E65" w:rsidR="00333F9F" w:rsidRPr="004F73F1" w:rsidRDefault="00333F9F" w:rsidP="00333F9F">
      <w:pPr>
        <w:spacing w:line="240" w:lineRule="auto"/>
        <w:jc w:val="center"/>
        <w:rPr>
          <w:rFonts w:ascii="Times New Roman" w:eastAsia="MS Mincho" w:hAnsi="Times New Roman" w:cs="Times New Roman"/>
          <w:kern w:val="0"/>
          <w:sz w:val="24"/>
          <w:szCs w:val="24"/>
          <w:lang w:eastAsia="ja-JP"/>
          <w14:ligatures w14:val="none"/>
        </w:rPr>
      </w:pPr>
      <w:r w:rsidRPr="004F73F1">
        <w:rPr>
          <w:rFonts w:ascii="Times New Roman" w:eastAsia="MS Mincho" w:hAnsi="Times New Roman" w:cs="Times New Roman"/>
          <w:b/>
          <w:bCs/>
          <w:kern w:val="0"/>
          <w:sz w:val="24"/>
          <w:szCs w:val="24"/>
          <w:lang w:eastAsia="ja-JP"/>
          <w14:ligatures w14:val="none"/>
        </w:rPr>
        <w:t xml:space="preserve">PROJECT NO. </w:t>
      </w:r>
      <w:r w:rsidR="00877BF6" w:rsidRPr="00877BF6">
        <w:rPr>
          <w:rFonts w:ascii="Times New Roman" w:eastAsia="MS Mincho" w:hAnsi="Times New Roman" w:cs="Times New Roman"/>
          <w:b/>
          <w:bCs/>
          <w:kern w:val="0"/>
          <w:sz w:val="24"/>
          <w:szCs w:val="24"/>
          <w:lang w:eastAsia="ja-JP"/>
          <w14:ligatures w14:val="none"/>
        </w:rPr>
        <w:t>38578</w:t>
      </w: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720"/>
        <w:gridCol w:w="4950"/>
      </w:tblGrid>
      <w:tr w:rsidR="00333F9F" w:rsidRPr="004F73F1" w14:paraId="51E225E7" w14:textId="77777777" w:rsidTr="00333F9F">
        <w:trPr>
          <w:trHeight w:val="1341"/>
        </w:trPr>
        <w:tc>
          <w:tcPr>
            <w:tcW w:w="4230" w:type="dxa"/>
            <w:vAlign w:val="center"/>
          </w:tcPr>
          <w:p w14:paraId="4EE27248" w14:textId="7070CBEE" w:rsidR="00333F9F" w:rsidRPr="004F73F1" w:rsidRDefault="00254FC4" w:rsidP="00333F9F">
            <w:pPr>
              <w:rPr>
                <w:rFonts w:ascii="Times New Roman" w:hAnsi="Times New Roman" w:cs="Times New Roman"/>
                <w:b/>
                <w:bCs/>
              </w:rPr>
            </w:pPr>
            <w:r w:rsidRPr="004F73F1">
              <w:rPr>
                <w:rFonts w:ascii="Times New Roman" w:hAnsi="Times New Roman" w:cs="Times New Roman"/>
                <w:b/>
                <w:bCs/>
              </w:rPr>
              <w:t>REPORTS OF THE ELECTRIC RELLIABILITY COUNCIL OF TEXAS</w:t>
            </w:r>
          </w:p>
        </w:tc>
        <w:tc>
          <w:tcPr>
            <w:tcW w:w="720" w:type="dxa"/>
            <w:vAlign w:val="center"/>
          </w:tcPr>
          <w:p w14:paraId="604715A3" w14:textId="77777777" w:rsidR="00333F9F" w:rsidRPr="004F73F1" w:rsidRDefault="00333F9F" w:rsidP="00333F9F">
            <w:pPr>
              <w:jc w:val="center"/>
              <w:rPr>
                <w:rFonts w:ascii="Times New Roman" w:hAnsi="Times New Roman" w:cs="Times New Roman"/>
                <w:b/>
                <w:bCs/>
              </w:rPr>
            </w:pPr>
            <w:r w:rsidRPr="004F73F1">
              <w:rPr>
                <w:rFonts w:ascii="Times New Roman" w:hAnsi="Times New Roman" w:cs="Times New Roman"/>
                <w:b/>
                <w:bCs/>
              </w:rPr>
              <w:t>§</w:t>
            </w:r>
          </w:p>
          <w:p w14:paraId="2215F41F" w14:textId="77777777" w:rsidR="00333F9F" w:rsidRPr="004F73F1" w:rsidRDefault="00333F9F" w:rsidP="00333F9F">
            <w:pPr>
              <w:jc w:val="center"/>
              <w:rPr>
                <w:rFonts w:ascii="Times New Roman" w:hAnsi="Times New Roman" w:cs="Times New Roman"/>
                <w:b/>
                <w:bCs/>
              </w:rPr>
            </w:pPr>
            <w:r w:rsidRPr="004F73F1">
              <w:rPr>
                <w:rFonts w:ascii="Times New Roman" w:hAnsi="Times New Roman" w:cs="Times New Roman"/>
                <w:b/>
                <w:bCs/>
              </w:rPr>
              <w:t>§</w:t>
            </w:r>
          </w:p>
          <w:p w14:paraId="3F42FDF0" w14:textId="77777777" w:rsidR="00333F9F" w:rsidRPr="004F73F1" w:rsidRDefault="00333F9F" w:rsidP="00333F9F">
            <w:pPr>
              <w:jc w:val="center"/>
              <w:rPr>
                <w:rFonts w:ascii="Times New Roman" w:hAnsi="Times New Roman" w:cs="Times New Roman"/>
                <w:b/>
                <w:bCs/>
              </w:rPr>
            </w:pPr>
            <w:r w:rsidRPr="004F73F1">
              <w:rPr>
                <w:rFonts w:ascii="Times New Roman" w:hAnsi="Times New Roman" w:cs="Times New Roman"/>
                <w:b/>
                <w:bCs/>
              </w:rPr>
              <w:t>§</w:t>
            </w:r>
          </w:p>
        </w:tc>
        <w:tc>
          <w:tcPr>
            <w:tcW w:w="4950" w:type="dxa"/>
            <w:vAlign w:val="center"/>
          </w:tcPr>
          <w:p w14:paraId="0814AE44" w14:textId="77777777" w:rsidR="00333F9F" w:rsidRPr="004F73F1" w:rsidRDefault="00333F9F" w:rsidP="00333F9F">
            <w:pPr>
              <w:jc w:val="center"/>
              <w:rPr>
                <w:rFonts w:ascii="Times New Roman" w:hAnsi="Times New Roman" w:cs="Times New Roman"/>
                <w:b/>
                <w:bCs/>
              </w:rPr>
            </w:pPr>
            <w:r w:rsidRPr="004F73F1">
              <w:rPr>
                <w:rFonts w:ascii="Times New Roman" w:hAnsi="Times New Roman" w:cs="Times New Roman"/>
                <w:b/>
                <w:bCs/>
              </w:rPr>
              <w:t>BEFORE THE</w:t>
            </w:r>
          </w:p>
          <w:p w14:paraId="1C6E2485" w14:textId="77777777" w:rsidR="00333F9F" w:rsidRPr="004F73F1" w:rsidRDefault="00333F9F" w:rsidP="00333F9F">
            <w:pPr>
              <w:jc w:val="center"/>
              <w:rPr>
                <w:rFonts w:ascii="Times New Roman" w:hAnsi="Times New Roman" w:cs="Times New Roman"/>
                <w:b/>
                <w:bCs/>
              </w:rPr>
            </w:pPr>
            <w:r w:rsidRPr="004F73F1">
              <w:rPr>
                <w:rFonts w:ascii="Times New Roman" w:hAnsi="Times New Roman" w:cs="Times New Roman"/>
                <w:b/>
                <w:bCs/>
              </w:rPr>
              <w:t>PUBLIC UTILITY COMMISSION</w:t>
            </w:r>
          </w:p>
          <w:p w14:paraId="487BD689" w14:textId="77777777" w:rsidR="00333F9F" w:rsidRPr="004F73F1" w:rsidRDefault="00333F9F" w:rsidP="00333F9F">
            <w:pPr>
              <w:jc w:val="center"/>
              <w:rPr>
                <w:rFonts w:ascii="Times New Roman" w:hAnsi="Times New Roman" w:cs="Times New Roman"/>
                <w:b/>
                <w:bCs/>
              </w:rPr>
            </w:pPr>
            <w:r w:rsidRPr="004F73F1">
              <w:rPr>
                <w:rFonts w:ascii="Times New Roman" w:hAnsi="Times New Roman" w:cs="Times New Roman"/>
                <w:b/>
                <w:bCs/>
              </w:rPr>
              <w:t>OF TEXAS</w:t>
            </w:r>
          </w:p>
        </w:tc>
      </w:tr>
    </w:tbl>
    <w:p w14:paraId="6BD4EA7A" w14:textId="77777777" w:rsidR="00333F9F" w:rsidRPr="004F73F1" w:rsidRDefault="00333F9F" w:rsidP="00333F9F">
      <w:pPr>
        <w:spacing w:line="240" w:lineRule="auto"/>
        <w:ind w:hanging="450"/>
        <w:rPr>
          <w:rFonts w:ascii="Times New Roman" w:eastAsia="MS Mincho" w:hAnsi="Times New Roman" w:cs="Times New Roman"/>
          <w:kern w:val="0"/>
          <w:sz w:val="24"/>
          <w:szCs w:val="24"/>
          <w:lang w:eastAsia="ja-JP"/>
          <w14:ligatures w14:val="none"/>
        </w:rPr>
      </w:pPr>
      <w:r w:rsidRPr="004F73F1">
        <w:rPr>
          <w:rFonts w:ascii="Times New Roman" w:eastAsia="MS Mincho" w:hAnsi="Times New Roman" w:cs="Times New Roman"/>
          <w:b/>
          <w:bCs/>
          <w:kern w:val="0"/>
          <w:sz w:val="24"/>
          <w:szCs w:val="24"/>
          <w:lang w:eastAsia="ja-JP"/>
          <w14:ligatures w14:val="none"/>
        </w:rPr>
        <w:tab/>
      </w:r>
    </w:p>
    <w:p w14:paraId="0AE80AC2" w14:textId="76DD07B6" w:rsidR="00333F9F" w:rsidRPr="004F73F1" w:rsidRDefault="00333F9F" w:rsidP="00254FC4">
      <w:pPr>
        <w:spacing w:line="240" w:lineRule="auto"/>
        <w:jc w:val="center"/>
        <w:rPr>
          <w:rFonts w:ascii="Times New Roman" w:eastAsia="MS Mincho" w:hAnsi="Times New Roman" w:cs="Times New Roman"/>
          <w:b/>
          <w:bCs/>
          <w:caps/>
          <w:kern w:val="0"/>
          <w:sz w:val="24"/>
          <w:szCs w:val="24"/>
          <w:u w:val="single"/>
          <w:lang w:eastAsia="ja-JP"/>
          <w14:ligatures w14:val="none"/>
        </w:rPr>
      </w:pPr>
      <w:r w:rsidRPr="004F73F1">
        <w:rPr>
          <w:rFonts w:ascii="Times New Roman" w:eastAsia="MS Mincho" w:hAnsi="Times New Roman" w:cs="Times New Roman"/>
          <w:b/>
          <w:bCs/>
          <w:caps/>
          <w:kern w:val="0"/>
          <w:sz w:val="24"/>
          <w:szCs w:val="24"/>
          <w:u w:val="single"/>
          <w:lang w:eastAsia="ja-JP"/>
          <w14:ligatures w14:val="none"/>
        </w:rPr>
        <w:t xml:space="preserve"> COMMENTS</w:t>
      </w:r>
      <w:r w:rsidR="00254FC4" w:rsidRPr="004F73F1">
        <w:rPr>
          <w:rFonts w:ascii="Times New Roman" w:eastAsia="MS Mincho" w:hAnsi="Times New Roman" w:cs="Times New Roman"/>
          <w:b/>
          <w:bCs/>
          <w:caps/>
          <w:kern w:val="0"/>
          <w:sz w:val="24"/>
          <w:szCs w:val="24"/>
          <w:u w:val="single"/>
          <w:lang w:eastAsia="ja-JP"/>
          <w14:ligatures w14:val="none"/>
        </w:rPr>
        <w:t xml:space="preserve"> and request for action from </w:t>
      </w:r>
      <w:r w:rsidR="008A7238" w:rsidRPr="004F73F1">
        <w:rPr>
          <w:rFonts w:ascii="Times New Roman" w:eastAsia="MS Mincho" w:hAnsi="Times New Roman" w:cs="Times New Roman"/>
          <w:b/>
          <w:bCs/>
          <w:caps/>
          <w:kern w:val="0"/>
          <w:sz w:val="24"/>
          <w:szCs w:val="24"/>
          <w:u w:val="single"/>
          <w:lang w:eastAsia="ja-JP"/>
          <w14:ligatures w14:val="none"/>
        </w:rPr>
        <w:t>A</w:t>
      </w:r>
      <w:r w:rsidR="00254FC4" w:rsidRPr="004F73F1">
        <w:rPr>
          <w:rFonts w:ascii="Times New Roman" w:eastAsia="MS Mincho" w:hAnsi="Times New Roman" w:cs="Times New Roman"/>
          <w:b/>
          <w:bCs/>
          <w:caps/>
          <w:kern w:val="0"/>
          <w:sz w:val="24"/>
          <w:szCs w:val="24"/>
          <w:u w:val="single"/>
          <w:lang w:eastAsia="ja-JP"/>
          <w14:ligatures w14:val="none"/>
        </w:rPr>
        <w:t>ARP</w:t>
      </w:r>
    </w:p>
    <w:p w14:paraId="02C62676" w14:textId="77777777" w:rsidR="00333F9F" w:rsidRPr="004F73F1" w:rsidRDefault="00333F9F" w:rsidP="00333F9F">
      <w:pPr>
        <w:spacing w:line="240" w:lineRule="auto"/>
        <w:jc w:val="both"/>
        <w:rPr>
          <w:rFonts w:ascii="Times New Roman" w:eastAsia="MS Mincho" w:hAnsi="Times New Roman" w:cs="Times New Roman"/>
          <w:kern w:val="0"/>
          <w:sz w:val="24"/>
          <w:szCs w:val="24"/>
          <w:lang w:eastAsia="ja-JP"/>
          <w14:ligatures w14:val="none"/>
        </w:rPr>
      </w:pPr>
    </w:p>
    <w:p w14:paraId="6C8E6B7C" w14:textId="77777777" w:rsidR="00EF5F85" w:rsidRPr="004F73F1" w:rsidRDefault="00EF5F85" w:rsidP="00EF5F85">
      <w:pPr>
        <w:rPr>
          <w:rFonts w:ascii="Times New Roman" w:hAnsi="Times New Roman" w:cs="Times New Roman"/>
          <w:sz w:val="24"/>
          <w:szCs w:val="24"/>
        </w:rPr>
      </w:pPr>
      <w:r w:rsidRPr="004F73F1">
        <w:rPr>
          <w:rFonts w:ascii="Times New Roman" w:hAnsi="Times New Roman" w:cs="Times New Roman"/>
          <w:sz w:val="24"/>
          <w:szCs w:val="24"/>
        </w:rPr>
        <w:t>In a recent filing, ERCOT detailed how they and transmission and distribution utilities are preparing for possible rolling outages as required by law. In its filing, ERCOT wrote: </w:t>
      </w:r>
    </w:p>
    <w:p w14:paraId="2EBE6EC8" w14:textId="77777777" w:rsidR="00EF5F85" w:rsidRPr="004F73F1" w:rsidRDefault="00EF5F85" w:rsidP="00EF5F85">
      <w:pPr>
        <w:rPr>
          <w:rFonts w:ascii="Times New Roman" w:hAnsi="Times New Roman" w:cs="Times New Roman"/>
          <w:sz w:val="24"/>
          <w:szCs w:val="24"/>
        </w:rPr>
      </w:pPr>
    </w:p>
    <w:p w14:paraId="5AACB683" w14:textId="77777777" w:rsidR="00EF5F85" w:rsidRPr="004F73F1" w:rsidRDefault="00EF5F85" w:rsidP="00EF5F85">
      <w:pPr>
        <w:rPr>
          <w:rFonts w:ascii="Times New Roman" w:hAnsi="Times New Roman" w:cs="Times New Roman"/>
          <w:sz w:val="24"/>
          <w:szCs w:val="24"/>
        </w:rPr>
      </w:pPr>
      <w:r w:rsidRPr="004F73F1">
        <w:rPr>
          <w:rFonts w:ascii="Times New Roman" w:hAnsi="Times New Roman" w:cs="Times New Roman"/>
          <w:sz w:val="24"/>
          <w:szCs w:val="24"/>
        </w:rPr>
        <w:t>“TOs [Transmission Operators] noted that inclusion of the residential critical load categories would likely result in a significant majority of TOs' load being excluded from their load shed rotation programs because most circuits had at least one residential critical customer on them. Based on that feedback, ERCOT revised the draft RFIs to limit the baseline exclusion to the non-residential critical load categories...”</w:t>
      </w:r>
    </w:p>
    <w:p w14:paraId="2EE2A0D9" w14:textId="77777777" w:rsidR="00EF5F85" w:rsidRPr="004F73F1" w:rsidRDefault="00EF5F85" w:rsidP="00EF5F85">
      <w:pPr>
        <w:rPr>
          <w:rFonts w:ascii="Times New Roman" w:hAnsi="Times New Roman" w:cs="Times New Roman"/>
          <w:sz w:val="24"/>
          <w:szCs w:val="24"/>
        </w:rPr>
      </w:pPr>
    </w:p>
    <w:p w14:paraId="2CA52ED3" w14:textId="621D29CF" w:rsidR="00EF5F85" w:rsidRPr="004F73F1" w:rsidRDefault="00EF5F85" w:rsidP="00EF5F85">
      <w:pPr>
        <w:rPr>
          <w:rFonts w:ascii="Times New Roman" w:hAnsi="Times New Roman" w:cs="Times New Roman"/>
          <w:sz w:val="24"/>
          <w:szCs w:val="24"/>
        </w:rPr>
      </w:pPr>
      <w:r w:rsidRPr="004F73F1">
        <w:rPr>
          <w:rFonts w:ascii="Times New Roman" w:hAnsi="Times New Roman" w:cs="Times New Roman"/>
          <w:sz w:val="24"/>
          <w:szCs w:val="24"/>
        </w:rPr>
        <w:t>This means that residential customers with critical needs—people who might otherwise die without medical equipment requiring power—will have their power cut off in rotating outages. We understand the reasoning that there would be no circuits to rotate if all circuits with a critical care customer were excluded. </w:t>
      </w:r>
      <w:r w:rsidRPr="004F73F1">
        <w:rPr>
          <w:rFonts w:ascii="Times New Roman" w:hAnsi="Times New Roman" w:cs="Times New Roman"/>
          <w:b/>
          <w:bCs/>
          <w:sz w:val="24"/>
          <w:szCs w:val="24"/>
        </w:rPr>
        <w:t>However, the discussion cannot stop there</w:t>
      </w:r>
      <w:r w:rsidRPr="004F73F1">
        <w:rPr>
          <w:rFonts w:ascii="Times New Roman" w:hAnsi="Times New Roman" w:cs="Times New Roman"/>
          <w:sz w:val="24"/>
          <w:szCs w:val="24"/>
        </w:rPr>
        <w:t>, as it did in ERCOT’s filing. </w:t>
      </w:r>
    </w:p>
    <w:p w14:paraId="58021D08" w14:textId="77777777" w:rsidR="00EF5F85" w:rsidRPr="004F73F1" w:rsidRDefault="00EF5F85" w:rsidP="00EF5F85">
      <w:pPr>
        <w:rPr>
          <w:rFonts w:ascii="Times New Roman" w:hAnsi="Times New Roman" w:cs="Times New Roman"/>
          <w:sz w:val="24"/>
          <w:szCs w:val="24"/>
        </w:rPr>
      </w:pPr>
    </w:p>
    <w:p w14:paraId="6420A794" w14:textId="5E610969" w:rsidR="00EF5F85" w:rsidRPr="004F73F1" w:rsidRDefault="00EF5F85" w:rsidP="00EF5F85">
      <w:pPr>
        <w:rPr>
          <w:rFonts w:ascii="Times New Roman" w:hAnsi="Times New Roman" w:cs="Times New Roman"/>
          <w:sz w:val="24"/>
          <w:szCs w:val="24"/>
        </w:rPr>
      </w:pPr>
      <w:r w:rsidRPr="004F73F1">
        <w:rPr>
          <w:rFonts w:ascii="Times New Roman" w:hAnsi="Times New Roman" w:cs="Times New Roman"/>
          <w:sz w:val="24"/>
          <w:szCs w:val="24"/>
        </w:rPr>
        <w:t xml:space="preserve">Power is essential for life and all circuits are critical; people </w:t>
      </w:r>
      <w:r w:rsidR="006B48F1" w:rsidRPr="004F73F1">
        <w:rPr>
          <w:rFonts w:ascii="Times New Roman" w:hAnsi="Times New Roman" w:cs="Times New Roman"/>
          <w:sz w:val="24"/>
          <w:szCs w:val="24"/>
        </w:rPr>
        <w:t xml:space="preserve">are </w:t>
      </w:r>
      <w:r w:rsidRPr="004F73F1">
        <w:rPr>
          <w:rFonts w:ascii="Times New Roman" w:hAnsi="Times New Roman" w:cs="Times New Roman"/>
          <w:sz w:val="24"/>
          <w:szCs w:val="24"/>
        </w:rPr>
        <w:t>on the other end of them and many of those people must have power for their medical devices. It is no longer tolerable, if it ever was, for ERCOT, the PUC, and utilities to proceed as if there</w:t>
      </w:r>
      <w:r w:rsidR="00F6473D" w:rsidRPr="004F73F1">
        <w:rPr>
          <w:rFonts w:ascii="Times New Roman" w:hAnsi="Times New Roman" w:cs="Times New Roman"/>
          <w:sz w:val="24"/>
          <w:szCs w:val="24"/>
        </w:rPr>
        <w:t xml:space="preserve"> is </w:t>
      </w:r>
      <w:r w:rsidRPr="004F73F1">
        <w:rPr>
          <w:rFonts w:ascii="Times New Roman" w:hAnsi="Times New Roman" w:cs="Times New Roman"/>
          <w:sz w:val="24"/>
          <w:szCs w:val="24"/>
        </w:rPr>
        <w:t>nothing that can be done to prevent critical care customers from being cut off during load shed events. Multiple technologies are now readily available that could save lives.</w:t>
      </w:r>
    </w:p>
    <w:p w14:paraId="53C9B347" w14:textId="77777777" w:rsidR="00EF5F85" w:rsidRPr="004F73F1" w:rsidRDefault="00EF5F85" w:rsidP="00EF5F85">
      <w:pPr>
        <w:rPr>
          <w:rFonts w:ascii="Times New Roman" w:hAnsi="Times New Roman" w:cs="Times New Roman"/>
          <w:sz w:val="24"/>
          <w:szCs w:val="24"/>
        </w:rPr>
      </w:pPr>
    </w:p>
    <w:p w14:paraId="312CF097" w14:textId="330137B5" w:rsidR="00EF5F85" w:rsidRPr="004F73F1" w:rsidRDefault="00D334B0" w:rsidP="00EF5F85">
      <w:pPr>
        <w:rPr>
          <w:rFonts w:ascii="Times New Roman" w:hAnsi="Times New Roman" w:cs="Times New Roman"/>
          <w:sz w:val="24"/>
          <w:szCs w:val="24"/>
        </w:rPr>
      </w:pPr>
      <w:r w:rsidRPr="004F73F1">
        <w:rPr>
          <w:rFonts w:ascii="Times New Roman" w:hAnsi="Times New Roman" w:cs="Times New Roman"/>
          <w:sz w:val="24"/>
          <w:szCs w:val="24"/>
        </w:rPr>
        <w:t xml:space="preserve">AARP </w:t>
      </w:r>
      <w:r w:rsidR="00EF5F85" w:rsidRPr="004F73F1">
        <w:rPr>
          <w:rFonts w:ascii="Times New Roman" w:hAnsi="Times New Roman" w:cs="Times New Roman"/>
          <w:sz w:val="24"/>
          <w:szCs w:val="24"/>
        </w:rPr>
        <w:t>urge</w:t>
      </w:r>
      <w:r w:rsidRPr="004F73F1">
        <w:rPr>
          <w:rFonts w:ascii="Times New Roman" w:hAnsi="Times New Roman" w:cs="Times New Roman"/>
          <w:sz w:val="24"/>
          <w:szCs w:val="24"/>
        </w:rPr>
        <w:t>s</w:t>
      </w:r>
      <w:r w:rsidR="00EF5F85" w:rsidRPr="004F73F1">
        <w:rPr>
          <w:rFonts w:ascii="Times New Roman" w:hAnsi="Times New Roman" w:cs="Times New Roman"/>
          <w:sz w:val="24"/>
          <w:szCs w:val="24"/>
        </w:rPr>
        <w:t xml:space="preserve"> the Commission to take up this issue as it is literally a matter of life and death. It should be incumbent upon the utilities and the Commission—working with ERCOT—to ensure that critical customers do not lose power at any time. There are many ways to do that while still rotating outages. We have three recommendations on how to achieve that:</w:t>
      </w:r>
      <w:r w:rsidR="00EF5F85" w:rsidRPr="004F73F1">
        <w:rPr>
          <w:rFonts w:ascii="Times New Roman" w:hAnsi="Times New Roman" w:cs="Times New Roman"/>
          <w:sz w:val="24"/>
          <w:szCs w:val="24"/>
        </w:rPr>
        <w:br/>
      </w:r>
    </w:p>
    <w:p w14:paraId="1368CE4E" w14:textId="74775C2B" w:rsidR="00EF5F85" w:rsidRPr="004F73F1" w:rsidRDefault="00EF5F85" w:rsidP="00EF5F85">
      <w:pPr>
        <w:numPr>
          <w:ilvl w:val="0"/>
          <w:numId w:val="1"/>
        </w:numPr>
        <w:spacing w:after="160"/>
        <w:rPr>
          <w:rFonts w:ascii="Times New Roman" w:hAnsi="Times New Roman" w:cs="Times New Roman"/>
          <w:sz w:val="24"/>
          <w:szCs w:val="24"/>
        </w:rPr>
      </w:pPr>
      <w:r w:rsidRPr="004F73F1">
        <w:rPr>
          <w:rFonts w:ascii="Times New Roman" w:hAnsi="Times New Roman" w:cs="Times New Roman"/>
          <w:b/>
          <w:bCs/>
          <w:sz w:val="24"/>
          <w:szCs w:val="24"/>
        </w:rPr>
        <w:t xml:space="preserve">Require utilities to create incentive programs to provide backup power for critical care residential customers. </w:t>
      </w:r>
      <w:r w:rsidRPr="004F73F1">
        <w:rPr>
          <w:rFonts w:ascii="Times New Roman" w:hAnsi="Times New Roman" w:cs="Times New Roman"/>
          <w:sz w:val="24"/>
          <w:szCs w:val="24"/>
        </w:rPr>
        <w:t xml:space="preserve">Customers who apply for “Critical Care Residential Customer Status” must have a condition serious enough that their doctor must submit to the electric utility an attestation that “the patient is depending upon an electric-powered medical device </w:t>
      </w:r>
      <w:r w:rsidRPr="004F73F1">
        <w:rPr>
          <w:rFonts w:ascii="Times New Roman" w:hAnsi="Times New Roman" w:cs="Times New Roman"/>
          <w:b/>
          <w:bCs/>
          <w:sz w:val="24"/>
          <w:szCs w:val="24"/>
          <w:u w:val="single"/>
        </w:rPr>
        <w:t>to sustain life”</w:t>
      </w:r>
      <w:r w:rsidRPr="004F73F1">
        <w:rPr>
          <w:rFonts w:ascii="Times New Roman" w:hAnsi="Times New Roman" w:cs="Times New Roman"/>
          <w:sz w:val="24"/>
          <w:szCs w:val="24"/>
        </w:rPr>
        <w:t xml:space="preserve">. The utilities have </w:t>
      </w:r>
      <w:proofErr w:type="gramStart"/>
      <w:r w:rsidRPr="004F73F1">
        <w:rPr>
          <w:rFonts w:ascii="Times New Roman" w:hAnsi="Times New Roman" w:cs="Times New Roman"/>
          <w:sz w:val="24"/>
          <w:szCs w:val="24"/>
        </w:rPr>
        <w:t>all of</w:t>
      </w:r>
      <w:proofErr w:type="gramEnd"/>
      <w:r w:rsidRPr="004F73F1">
        <w:rPr>
          <w:rFonts w:ascii="Times New Roman" w:hAnsi="Times New Roman" w:cs="Times New Roman"/>
          <w:sz w:val="24"/>
          <w:szCs w:val="24"/>
        </w:rPr>
        <w:t xml:space="preserve"> the applications, including the address of each person dependent on medical equipment in their home. They could easily notify each critical care customer that they are automatically eligible for a home energy retrofit to lower their energy demand and an incentive for a solar/storage system to ensure they have reliable, uninterrupted power supply during bulk grid outages and distribution </w:t>
      </w:r>
      <w:r w:rsidRPr="004F73F1">
        <w:rPr>
          <w:rFonts w:ascii="Times New Roman" w:hAnsi="Times New Roman" w:cs="Times New Roman"/>
          <w:sz w:val="24"/>
          <w:szCs w:val="24"/>
        </w:rPr>
        <w:lastRenderedPageBreak/>
        <w:t>level outages</w:t>
      </w:r>
      <w:r w:rsidRPr="004F73F1">
        <w:rPr>
          <w:rFonts w:ascii="Times New Roman" w:hAnsi="Times New Roman" w:cs="Times New Roman"/>
          <w:b/>
          <w:bCs/>
          <w:sz w:val="24"/>
          <w:szCs w:val="24"/>
        </w:rPr>
        <w:t xml:space="preserve">. </w:t>
      </w:r>
      <w:r w:rsidRPr="004F73F1">
        <w:rPr>
          <w:rFonts w:ascii="Times New Roman" w:hAnsi="Times New Roman" w:cs="Times New Roman"/>
          <w:sz w:val="24"/>
          <w:szCs w:val="24"/>
        </w:rPr>
        <w:t>These offerings could lower utility bills year-round and be counted by the utilities towards meeting their goals.</w:t>
      </w:r>
      <w:r w:rsidRPr="004F73F1">
        <w:rPr>
          <w:rFonts w:ascii="Times New Roman" w:hAnsi="Times New Roman" w:cs="Times New Roman"/>
          <w:sz w:val="24"/>
          <w:szCs w:val="24"/>
        </w:rPr>
        <w:br/>
      </w:r>
    </w:p>
    <w:p w14:paraId="7E3E9C7E" w14:textId="26D9C4C4" w:rsidR="00C54E4A" w:rsidRPr="004F73F1" w:rsidRDefault="00EF5F85" w:rsidP="00C54E4A">
      <w:pPr>
        <w:pStyle w:val="ListParagraph"/>
        <w:numPr>
          <w:ilvl w:val="0"/>
          <w:numId w:val="1"/>
        </w:numPr>
        <w:spacing w:after="160"/>
        <w:rPr>
          <w:rFonts w:ascii="Times New Roman" w:hAnsi="Times New Roman" w:cs="Times New Roman"/>
          <w:sz w:val="24"/>
          <w:szCs w:val="24"/>
        </w:rPr>
      </w:pPr>
      <w:r w:rsidRPr="004F73F1">
        <w:rPr>
          <w:rFonts w:ascii="Times New Roman" w:hAnsi="Times New Roman" w:cs="Times New Roman"/>
          <w:b/>
          <w:bCs/>
          <w:sz w:val="24"/>
          <w:szCs w:val="24"/>
        </w:rPr>
        <w:t xml:space="preserve">Create a program to ensure emergency backup power to income-eligible Texans who are dependent on electrically powered medical devices. </w:t>
      </w:r>
      <w:r w:rsidRPr="004F73F1">
        <w:rPr>
          <w:rFonts w:ascii="Times New Roman" w:hAnsi="Times New Roman" w:cs="Times New Roman"/>
          <w:sz w:val="24"/>
          <w:szCs w:val="24"/>
        </w:rPr>
        <w:t>This</w:t>
      </w:r>
      <w:r w:rsidRPr="004F73F1">
        <w:rPr>
          <w:rFonts w:ascii="Times New Roman" w:hAnsi="Times New Roman" w:cs="Times New Roman"/>
          <w:b/>
          <w:bCs/>
          <w:sz w:val="24"/>
          <w:szCs w:val="24"/>
        </w:rPr>
        <w:t xml:space="preserve"> </w:t>
      </w:r>
      <w:r w:rsidRPr="004F73F1">
        <w:rPr>
          <w:rFonts w:ascii="Times New Roman" w:hAnsi="Times New Roman" w:cs="Times New Roman"/>
          <w:sz w:val="24"/>
          <w:szCs w:val="24"/>
        </w:rPr>
        <w:t>recommendation is the #1 emergency management recommendation in the Texas Governor’s Committee on People with Disabilities (GCPD) report to the Governor and the 89</w:t>
      </w:r>
      <w:r w:rsidRPr="004F73F1">
        <w:rPr>
          <w:rFonts w:ascii="Times New Roman" w:hAnsi="Times New Roman" w:cs="Times New Roman"/>
          <w:sz w:val="24"/>
          <w:szCs w:val="24"/>
          <w:vertAlign w:val="superscript"/>
        </w:rPr>
        <w:t>th</w:t>
      </w:r>
      <w:r w:rsidRPr="004F73F1">
        <w:rPr>
          <w:rFonts w:ascii="Times New Roman" w:hAnsi="Times New Roman" w:cs="Times New Roman"/>
          <w:sz w:val="24"/>
          <w:szCs w:val="24"/>
        </w:rPr>
        <w:t xml:space="preserve"> Texas Legislature. This could be a new program, or the PUC could allow critical care customers to be eligible for grant funding from the Texas Backup Power Program </w:t>
      </w:r>
      <w:r w:rsidR="00C54E4A" w:rsidRPr="004F73F1">
        <w:rPr>
          <w:rFonts w:ascii="Times New Roman" w:hAnsi="Times New Roman" w:cs="Times New Roman"/>
          <w:sz w:val="24"/>
          <w:szCs w:val="24"/>
        </w:rPr>
        <w:t xml:space="preserve">(TBPP) </w:t>
      </w:r>
      <w:r w:rsidRPr="004F73F1">
        <w:rPr>
          <w:rFonts w:ascii="Times New Roman" w:hAnsi="Times New Roman" w:cs="Times New Roman"/>
          <w:sz w:val="24"/>
          <w:szCs w:val="24"/>
        </w:rPr>
        <w:t>for onsite power that can operate during loss of power. This program could be complementary to, or an alternative to, the utility programs described above. </w:t>
      </w:r>
    </w:p>
    <w:p w14:paraId="6E227A53" w14:textId="77777777" w:rsidR="00C54E4A" w:rsidRPr="004F73F1" w:rsidRDefault="00C54E4A" w:rsidP="00C54E4A">
      <w:pPr>
        <w:pStyle w:val="ListParagraph"/>
        <w:spacing w:after="160"/>
        <w:rPr>
          <w:rFonts w:ascii="Times New Roman" w:hAnsi="Times New Roman" w:cs="Times New Roman"/>
          <w:sz w:val="24"/>
          <w:szCs w:val="24"/>
        </w:rPr>
      </w:pPr>
    </w:p>
    <w:p w14:paraId="178A79E7" w14:textId="1E0E4A7B" w:rsidR="00EF5F85" w:rsidRPr="004F73F1" w:rsidRDefault="00EF5F85" w:rsidP="009E3099">
      <w:pPr>
        <w:pStyle w:val="ListParagraph"/>
        <w:numPr>
          <w:ilvl w:val="0"/>
          <w:numId w:val="1"/>
        </w:numPr>
        <w:spacing w:after="160" w:line="240" w:lineRule="auto"/>
        <w:rPr>
          <w:rFonts w:ascii="Times New Roman" w:hAnsi="Times New Roman" w:cs="Times New Roman"/>
          <w:sz w:val="24"/>
          <w:szCs w:val="24"/>
        </w:rPr>
      </w:pPr>
      <w:r w:rsidRPr="004F73F1">
        <w:rPr>
          <w:rFonts w:ascii="Times New Roman" w:hAnsi="Times New Roman" w:cs="Times New Roman"/>
          <w:b/>
          <w:bCs/>
          <w:sz w:val="24"/>
          <w:szCs w:val="24"/>
        </w:rPr>
        <w:t>Prioritize the rollout of the TB</w:t>
      </w:r>
      <w:r w:rsidR="00C54E4A" w:rsidRPr="004F73F1">
        <w:rPr>
          <w:rFonts w:ascii="Times New Roman" w:hAnsi="Times New Roman" w:cs="Times New Roman"/>
          <w:b/>
          <w:bCs/>
          <w:sz w:val="24"/>
          <w:szCs w:val="24"/>
        </w:rPr>
        <w:t>P</w:t>
      </w:r>
      <w:r w:rsidRPr="004F73F1">
        <w:rPr>
          <w:rFonts w:ascii="Times New Roman" w:hAnsi="Times New Roman" w:cs="Times New Roman"/>
          <w:b/>
          <w:bCs/>
          <w:sz w:val="24"/>
          <w:szCs w:val="24"/>
        </w:rPr>
        <w:t>P over the next few months</w:t>
      </w:r>
      <w:r w:rsidRPr="004F73F1">
        <w:rPr>
          <w:rFonts w:ascii="Times New Roman" w:hAnsi="Times New Roman" w:cs="Times New Roman"/>
          <w:sz w:val="24"/>
          <w:szCs w:val="24"/>
        </w:rPr>
        <w:t xml:space="preserve"> so that as soon as money is appropriated by Legislature, the program can begin. The availability of onsite power at critical facilities will protect vulnerable Texans at critical facilities</w:t>
      </w:r>
      <w:r w:rsidR="003263D6" w:rsidRPr="004F73F1">
        <w:rPr>
          <w:rFonts w:ascii="Times New Roman" w:hAnsi="Times New Roman" w:cs="Times New Roman"/>
          <w:sz w:val="24"/>
          <w:szCs w:val="24"/>
        </w:rPr>
        <w:t xml:space="preserve">, like skilled </w:t>
      </w:r>
      <w:r w:rsidRPr="004F73F1">
        <w:rPr>
          <w:rFonts w:ascii="Times New Roman" w:hAnsi="Times New Roman" w:cs="Times New Roman"/>
          <w:sz w:val="24"/>
          <w:szCs w:val="24"/>
        </w:rPr>
        <w:t>nursing homes and assisted living facilities.</w:t>
      </w:r>
      <w:r w:rsidR="00FC375C" w:rsidRPr="004F73F1">
        <w:rPr>
          <w:rFonts w:ascii="Times New Roman" w:hAnsi="Times New Roman" w:cs="Times New Roman"/>
          <w:sz w:val="24"/>
          <w:szCs w:val="24"/>
        </w:rPr>
        <w:t xml:space="preserve"> </w:t>
      </w:r>
      <w:r w:rsidR="005930D3" w:rsidRPr="004F73F1">
        <w:rPr>
          <w:rFonts w:ascii="Times New Roman" w:hAnsi="Times New Roman" w:cs="Times New Roman"/>
          <w:sz w:val="24"/>
          <w:szCs w:val="24"/>
        </w:rPr>
        <w:t xml:space="preserve">It will </w:t>
      </w:r>
      <w:r w:rsidRPr="004F73F1">
        <w:rPr>
          <w:rFonts w:ascii="Times New Roman" w:hAnsi="Times New Roman" w:cs="Times New Roman"/>
          <w:sz w:val="24"/>
          <w:szCs w:val="24"/>
        </w:rPr>
        <w:t xml:space="preserve">also limit the number of circuits that </w:t>
      </w:r>
      <w:r w:rsidR="008A2CBC" w:rsidRPr="004F73F1">
        <w:rPr>
          <w:rFonts w:ascii="Times New Roman" w:hAnsi="Times New Roman" w:cs="Times New Roman"/>
          <w:sz w:val="24"/>
          <w:szCs w:val="24"/>
        </w:rPr>
        <w:t xml:space="preserve">cannot </w:t>
      </w:r>
      <w:r w:rsidRPr="004F73F1">
        <w:rPr>
          <w:rFonts w:ascii="Times New Roman" w:hAnsi="Times New Roman" w:cs="Times New Roman"/>
          <w:sz w:val="24"/>
          <w:szCs w:val="24"/>
        </w:rPr>
        <w:t>be included in rotating outages and</w:t>
      </w:r>
      <w:r w:rsidR="00FC375C" w:rsidRPr="004F73F1">
        <w:rPr>
          <w:rFonts w:ascii="Times New Roman" w:hAnsi="Times New Roman" w:cs="Times New Roman"/>
          <w:sz w:val="24"/>
          <w:szCs w:val="24"/>
        </w:rPr>
        <w:t xml:space="preserve"> </w:t>
      </w:r>
      <w:r w:rsidRPr="004F73F1">
        <w:rPr>
          <w:rFonts w:ascii="Times New Roman" w:hAnsi="Times New Roman" w:cs="Times New Roman"/>
          <w:sz w:val="24"/>
          <w:szCs w:val="24"/>
        </w:rPr>
        <w:t>lower the duration of power outages for those not on critical circuits. Ideally, this would occur before the 2025 hurricane season as backup power can help with both load shedding and outages from natural disasters.</w:t>
      </w:r>
    </w:p>
    <w:p w14:paraId="6D14C6E2" w14:textId="77777777" w:rsidR="009E3099" w:rsidRPr="004F73F1" w:rsidRDefault="009E3099" w:rsidP="009E3099">
      <w:pPr>
        <w:spacing w:line="240" w:lineRule="auto"/>
        <w:rPr>
          <w:rFonts w:ascii="Times New Roman" w:hAnsi="Times New Roman" w:cs="Times New Roman"/>
          <w:sz w:val="24"/>
          <w:szCs w:val="24"/>
        </w:rPr>
      </w:pPr>
    </w:p>
    <w:p w14:paraId="367342F3" w14:textId="28E14C90" w:rsidR="00EF5F85" w:rsidRPr="004F73F1" w:rsidRDefault="00EF5F85" w:rsidP="009E3099">
      <w:pPr>
        <w:spacing w:line="240" w:lineRule="auto"/>
        <w:rPr>
          <w:rFonts w:ascii="Times New Roman" w:hAnsi="Times New Roman" w:cs="Times New Roman"/>
          <w:sz w:val="24"/>
          <w:szCs w:val="24"/>
        </w:rPr>
      </w:pPr>
      <w:r w:rsidRPr="004F73F1">
        <w:rPr>
          <w:rFonts w:ascii="Times New Roman" w:hAnsi="Times New Roman" w:cs="Times New Roman"/>
          <w:sz w:val="24"/>
          <w:szCs w:val="24"/>
        </w:rPr>
        <w:t>Finally, we encourage the Commission to prioritize onsite reliable power for the hundreds of thousands of Texans living in nursing homes and assisted living facilities.</w:t>
      </w:r>
      <w:r w:rsidR="006967C3" w:rsidRPr="004F73F1">
        <w:rPr>
          <w:rFonts w:ascii="Times New Roman" w:hAnsi="Times New Roman" w:cs="Times New Roman"/>
          <w:sz w:val="24"/>
          <w:szCs w:val="24"/>
        </w:rPr>
        <w:t xml:space="preserve"> </w:t>
      </w:r>
      <w:r w:rsidRPr="004F73F1">
        <w:rPr>
          <w:rFonts w:ascii="Times New Roman" w:hAnsi="Times New Roman" w:cs="Times New Roman"/>
          <w:sz w:val="24"/>
          <w:szCs w:val="24"/>
        </w:rPr>
        <w:t xml:space="preserve">A 2020 Texas Health and Human Services (HHSC) survey following Winter Storm Uri found that </w:t>
      </w:r>
      <w:r w:rsidR="00044AE8" w:rsidRPr="004F73F1">
        <w:rPr>
          <w:rFonts w:ascii="Times New Roman" w:hAnsi="Times New Roman" w:cs="Times New Roman"/>
          <w:sz w:val="24"/>
          <w:szCs w:val="24"/>
        </w:rPr>
        <w:t xml:space="preserve">around </w:t>
      </w:r>
      <w:r w:rsidR="007D6E33" w:rsidRPr="004F73F1">
        <w:rPr>
          <w:rFonts w:ascii="Times New Roman" w:hAnsi="Times New Roman" w:cs="Times New Roman"/>
          <w:sz w:val="24"/>
          <w:szCs w:val="24"/>
        </w:rPr>
        <w:t>30</w:t>
      </w:r>
      <w:r w:rsidRPr="004F73F1">
        <w:rPr>
          <w:rFonts w:ascii="Times New Roman" w:hAnsi="Times New Roman" w:cs="Times New Roman"/>
          <w:sz w:val="24"/>
          <w:szCs w:val="24"/>
        </w:rPr>
        <w:t xml:space="preserve">% of </w:t>
      </w:r>
      <w:r w:rsidR="00A14258" w:rsidRPr="004F73F1">
        <w:rPr>
          <w:rFonts w:ascii="Times New Roman" w:hAnsi="Times New Roman" w:cs="Times New Roman"/>
          <w:sz w:val="24"/>
          <w:szCs w:val="24"/>
        </w:rPr>
        <w:t xml:space="preserve">responding </w:t>
      </w:r>
      <w:r w:rsidRPr="004F73F1">
        <w:rPr>
          <w:rFonts w:ascii="Times New Roman" w:hAnsi="Times New Roman" w:cs="Times New Roman"/>
          <w:sz w:val="24"/>
          <w:szCs w:val="24"/>
        </w:rPr>
        <w:t xml:space="preserve">assisted living facilities have backup power to serve heating </w:t>
      </w:r>
      <w:r w:rsidR="00C425F0" w:rsidRPr="004F73F1">
        <w:rPr>
          <w:rFonts w:ascii="Times New Roman" w:hAnsi="Times New Roman" w:cs="Times New Roman"/>
          <w:sz w:val="24"/>
          <w:szCs w:val="24"/>
        </w:rPr>
        <w:t xml:space="preserve">or </w:t>
      </w:r>
      <w:r w:rsidRPr="004F73F1">
        <w:rPr>
          <w:rFonts w:ascii="Times New Roman" w:hAnsi="Times New Roman" w:cs="Times New Roman"/>
          <w:sz w:val="24"/>
          <w:szCs w:val="24"/>
        </w:rPr>
        <w:t xml:space="preserve">air conditioning systems and less </w:t>
      </w:r>
      <w:r w:rsidR="00DA4A6C" w:rsidRPr="004F73F1">
        <w:rPr>
          <w:rFonts w:ascii="Times New Roman" w:hAnsi="Times New Roman" w:cs="Times New Roman"/>
          <w:sz w:val="24"/>
          <w:szCs w:val="24"/>
        </w:rPr>
        <w:t>5</w:t>
      </w:r>
      <w:r w:rsidRPr="004F73F1">
        <w:rPr>
          <w:rFonts w:ascii="Times New Roman" w:hAnsi="Times New Roman" w:cs="Times New Roman"/>
          <w:sz w:val="24"/>
          <w:szCs w:val="24"/>
        </w:rPr>
        <w:t xml:space="preserve">% have enough fuel to last even three days. </w:t>
      </w:r>
      <w:r w:rsidR="004F73F1" w:rsidRPr="004F73F1">
        <w:rPr>
          <w:rFonts w:ascii="Times New Roman" w:hAnsi="Times New Roman" w:cs="Times New Roman"/>
          <w:sz w:val="24"/>
          <w:szCs w:val="24"/>
        </w:rPr>
        <w:t>We were again reminded with Hurricane Beryl of the need and urgency of backup power for these facilities. Four days after it made landfall, residents in at least 36 nursing homes and 61 assisted living facilities were still without power.</w:t>
      </w:r>
    </w:p>
    <w:p w14:paraId="7EDC284F" w14:textId="77777777" w:rsidR="00EF5F85" w:rsidRPr="004F73F1" w:rsidRDefault="00EF5F85" w:rsidP="00EF5F85">
      <w:pPr>
        <w:rPr>
          <w:rFonts w:ascii="Times New Roman" w:hAnsi="Times New Roman" w:cs="Times New Roman"/>
          <w:sz w:val="24"/>
          <w:szCs w:val="24"/>
        </w:rPr>
      </w:pPr>
    </w:p>
    <w:p w14:paraId="5F035C34" w14:textId="16527D30" w:rsidR="00EF5F85" w:rsidRPr="004F73F1" w:rsidRDefault="00B24DAF" w:rsidP="00EF5F85">
      <w:pPr>
        <w:rPr>
          <w:rFonts w:ascii="Times New Roman" w:hAnsi="Times New Roman" w:cs="Times New Roman"/>
          <w:sz w:val="24"/>
          <w:szCs w:val="24"/>
        </w:rPr>
      </w:pPr>
      <w:r w:rsidRPr="004F73F1">
        <w:rPr>
          <w:rFonts w:ascii="Times New Roman" w:hAnsi="Times New Roman" w:cs="Times New Roman"/>
          <w:sz w:val="24"/>
          <w:szCs w:val="24"/>
        </w:rPr>
        <w:t xml:space="preserve">AARP and its 2.5 million members </w:t>
      </w:r>
      <w:r w:rsidR="00EF5F85" w:rsidRPr="004F73F1">
        <w:rPr>
          <w:rFonts w:ascii="Times New Roman" w:hAnsi="Times New Roman" w:cs="Times New Roman"/>
          <w:sz w:val="24"/>
          <w:szCs w:val="24"/>
        </w:rPr>
        <w:t xml:space="preserve">appreciate the work the Commission has already done to fortify the grid. We know and appreciate that there are many competing priorities for the Commission’s time. </w:t>
      </w:r>
      <w:r w:rsidR="00DC477B" w:rsidRPr="004F73F1">
        <w:rPr>
          <w:rFonts w:ascii="Times New Roman" w:hAnsi="Times New Roman" w:cs="Times New Roman"/>
          <w:sz w:val="24"/>
          <w:szCs w:val="24"/>
        </w:rPr>
        <w:t xml:space="preserve">We </w:t>
      </w:r>
      <w:r w:rsidR="00EF5F85" w:rsidRPr="004F73F1">
        <w:rPr>
          <w:rFonts w:ascii="Times New Roman" w:hAnsi="Times New Roman" w:cs="Times New Roman"/>
          <w:sz w:val="24"/>
          <w:szCs w:val="24"/>
        </w:rPr>
        <w:t>encourage you to prioritize activities that will protect life, particularly for the most vulnerable Texans.</w:t>
      </w:r>
    </w:p>
    <w:p w14:paraId="1EF51A53" w14:textId="77777777" w:rsidR="00EF5F85" w:rsidRPr="004F73F1" w:rsidRDefault="00EF5F85" w:rsidP="00EF5F85">
      <w:pPr>
        <w:rPr>
          <w:rFonts w:ascii="Times New Roman" w:hAnsi="Times New Roman" w:cs="Times New Roman"/>
          <w:sz w:val="24"/>
          <w:szCs w:val="24"/>
        </w:rPr>
      </w:pPr>
    </w:p>
    <w:p w14:paraId="3BFF970D" w14:textId="77777777" w:rsidR="00EF5F85" w:rsidRPr="004F73F1" w:rsidRDefault="00EF5F85" w:rsidP="00EF5F85">
      <w:pPr>
        <w:rPr>
          <w:rFonts w:ascii="Times New Roman" w:hAnsi="Times New Roman" w:cs="Times New Roman"/>
          <w:sz w:val="24"/>
          <w:szCs w:val="24"/>
        </w:rPr>
      </w:pPr>
      <w:r w:rsidRPr="004F73F1">
        <w:rPr>
          <w:rFonts w:ascii="Times New Roman" w:hAnsi="Times New Roman" w:cs="Times New Roman"/>
          <w:sz w:val="24"/>
          <w:szCs w:val="24"/>
        </w:rPr>
        <w:t>Thank you for your attention to these important matters. We look forward to discussing these issues and working with the Commission to continue to improve the reliability and resiliency of the grid.</w:t>
      </w:r>
    </w:p>
    <w:p w14:paraId="287C07D2" w14:textId="77777777" w:rsidR="00AD65FF" w:rsidRPr="004F73F1" w:rsidRDefault="00AD65FF" w:rsidP="00AD65FF">
      <w:pPr>
        <w:rPr>
          <w:rFonts w:ascii="Times New Roman" w:hAnsi="Times New Roman" w:cs="Times New Roman"/>
        </w:rPr>
      </w:pPr>
    </w:p>
    <w:p w14:paraId="3944D20A" w14:textId="15FD4140" w:rsidR="00AD65FF" w:rsidRPr="004F73F1" w:rsidRDefault="00567DAD" w:rsidP="00AD65FF">
      <w:pPr>
        <w:jc w:val="both"/>
        <w:rPr>
          <w:rFonts w:ascii="Times New Roman" w:hAnsi="Times New Roman" w:cs="Times New Roman"/>
          <w:sz w:val="24"/>
          <w:szCs w:val="24"/>
        </w:rPr>
      </w:pPr>
      <w:r w:rsidRPr="004F73F1">
        <w:rPr>
          <w:rFonts w:ascii="Times New Roman" w:hAnsi="Times New Roman" w:cs="Times New Roman"/>
          <w:sz w:val="24"/>
          <w:szCs w:val="24"/>
        </w:rPr>
        <w:t xml:space="preserve">Respectfully Submitted, </w:t>
      </w:r>
    </w:p>
    <w:p w14:paraId="203A9FCD" w14:textId="77777777" w:rsidR="00AD65FF" w:rsidRPr="004F73F1" w:rsidRDefault="00AD65FF" w:rsidP="00AD65FF">
      <w:pPr>
        <w:ind w:left="-360"/>
        <w:jc w:val="both"/>
        <w:rPr>
          <w:rFonts w:ascii="Times New Roman" w:hAnsi="Times New Roman" w:cs="Times New Roman"/>
          <w:sz w:val="24"/>
          <w:szCs w:val="24"/>
        </w:rPr>
      </w:pPr>
      <w:r w:rsidRPr="004F73F1">
        <w:rPr>
          <w:rFonts w:ascii="Times New Roman" w:hAnsi="Times New Roman" w:cs="Times New Roman"/>
          <w:sz w:val="24"/>
          <w:szCs w:val="24"/>
        </w:rPr>
        <w:tab/>
      </w:r>
      <w:r w:rsidRPr="004F73F1">
        <w:rPr>
          <w:rFonts w:ascii="Times New Roman" w:hAnsi="Times New Roman" w:cs="Times New Roman"/>
          <w:noProof/>
          <w:sz w:val="24"/>
          <w:szCs w:val="24"/>
        </w:rPr>
        <w:drawing>
          <wp:inline distT="0" distB="0" distL="0" distR="0" wp14:anchorId="4143877E" wp14:editId="56B1D419">
            <wp:extent cx="641577" cy="2343150"/>
            <wp:effectExtent l="6350" t="0" r="0" b="0"/>
            <wp:docPr id="654465207" name="Picture 1" descr="A blue line on a white su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465207" name="Picture 1" descr="A blue line on a white surface&#10;&#10;Description automatically generated"/>
                    <pic:cNvPicPr/>
                  </pic:nvPicPr>
                  <pic:blipFill>
                    <a:blip r:embed="rId5"/>
                    <a:stretch>
                      <a:fillRect/>
                    </a:stretch>
                  </pic:blipFill>
                  <pic:spPr>
                    <a:xfrm rot="16200000">
                      <a:off x="0" y="0"/>
                      <a:ext cx="646298" cy="2360391"/>
                    </a:xfrm>
                    <a:prstGeom prst="rect">
                      <a:avLst/>
                    </a:prstGeom>
                  </pic:spPr>
                </pic:pic>
              </a:graphicData>
            </a:graphic>
          </wp:inline>
        </w:drawing>
      </w:r>
    </w:p>
    <w:p w14:paraId="041150F8" w14:textId="77777777" w:rsidR="00AD65FF" w:rsidRPr="004F73F1" w:rsidRDefault="00AD65FF" w:rsidP="00AD65FF">
      <w:pPr>
        <w:ind w:left="-360"/>
        <w:jc w:val="both"/>
        <w:rPr>
          <w:rFonts w:ascii="Times New Roman" w:hAnsi="Times New Roman" w:cs="Times New Roman"/>
          <w:sz w:val="24"/>
          <w:szCs w:val="24"/>
        </w:rPr>
      </w:pPr>
      <w:r w:rsidRPr="004F73F1">
        <w:rPr>
          <w:rFonts w:ascii="Times New Roman" w:hAnsi="Times New Roman" w:cs="Times New Roman"/>
          <w:sz w:val="24"/>
          <w:szCs w:val="24"/>
        </w:rPr>
        <w:tab/>
        <w:t>Stephanie Mace</w:t>
      </w:r>
    </w:p>
    <w:p w14:paraId="275BF73D" w14:textId="77777777" w:rsidR="00AD65FF" w:rsidRPr="004F73F1" w:rsidRDefault="00AD65FF" w:rsidP="00AD65FF">
      <w:pPr>
        <w:ind w:left="-360"/>
        <w:jc w:val="both"/>
        <w:rPr>
          <w:rFonts w:ascii="Times New Roman" w:hAnsi="Times New Roman" w:cs="Times New Roman"/>
          <w:sz w:val="24"/>
          <w:szCs w:val="24"/>
        </w:rPr>
      </w:pPr>
      <w:r w:rsidRPr="004F73F1">
        <w:rPr>
          <w:rFonts w:ascii="Times New Roman" w:hAnsi="Times New Roman" w:cs="Times New Roman"/>
          <w:sz w:val="24"/>
          <w:szCs w:val="24"/>
        </w:rPr>
        <w:lastRenderedPageBreak/>
        <w:tab/>
        <w:t>Associate State Director, Advocacy and Outreach</w:t>
      </w:r>
    </w:p>
    <w:p w14:paraId="48F98C56" w14:textId="3C92916C" w:rsidR="00784954" w:rsidRPr="004F73F1" w:rsidRDefault="00AD65FF" w:rsidP="007F516C">
      <w:pPr>
        <w:ind w:left="-360"/>
        <w:jc w:val="both"/>
        <w:rPr>
          <w:rFonts w:ascii="Times New Roman" w:hAnsi="Times New Roman" w:cs="Times New Roman"/>
          <w:sz w:val="24"/>
          <w:szCs w:val="24"/>
        </w:rPr>
      </w:pPr>
      <w:r w:rsidRPr="004F73F1">
        <w:rPr>
          <w:rFonts w:ascii="Times New Roman" w:hAnsi="Times New Roman" w:cs="Times New Roman"/>
          <w:sz w:val="24"/>
          <w:szCs w:val="24"/>
        </w:rPr>
        <w:tab/>
        <w:t>AARP-Texas</w:t>
      </w:r>
    </w:p>
    <w:p w14:paraId="7FE13BE8" w14:textId="010B1FFF" w:rsidR="00567DAD" w:rsidRPr="004F73F1" w:rsidRDefault="00567DAD" w:rsidP="007F516C">
      <w:pPr>
        <w:ind w:left="-360"/>
        <w:jc w:val="both"/>
        <w:rPr>
          <w:rFonts w:ascii="Times New Roman" w:hAnsi="Times New Roman" w:cs="Times New Roman"/>
          <w:sz w:val="24"/>
          <w:szCs w:val="24"/>
        </w:rPr>
      </w:pPr>
      <w:r w:rsidRPr="004F73F1">
        <w:rPr>
          <w:rFonts w:ascii="Times New Roman" w:hAnsi="Times New Roman" w:cs="Times New Roman"/>
          <w:sz w:val="24"/>
          <w:szCs w:val="24"/>
        </w:rPr>
        <w:tab/>
      </w:r>
      <w:r w:rsidR="003A0B9E" w:rsidRPr="004F73F1">
        <w:rPr>
          <w:rFonts w:ascii="Times New Roman" w:hAnsi="Times New Roman" w:cs="Times New Roman"/>
          <w:sz w:val="24"/>
          <w:szCs w:val="24"/>
        </w:rPr>
        <w:t>SM</w:t>
      </w:r>
      <w:r w:rsidRPr="004F73F1">
        <w:rPr>
          <w:rFonts w:ascii="Times New Roman" w:hAnsi="Times New Roman" w:cs="Times New Roman"/>
          <w:sz w:val="24"/>
          <w:szCs w:val="24"/>
        </w:rPr>
        <w:t>ace@aarp.org</w:t>
      </w:r>
    </w:p>
    <w:p w14:paraId="740A2855" w14:textId="77777777" w:rsidR="00567DAD" w:rsidRPr="004F73F1" w:rsidRDefault="00567DAD" w:rsidP="007F516C">
      <w:pPr>
        <w:ind w:left="-360"/>
        <w:jc w:val="both"/>
        <w:rPr>
          <w:rFonts w:ascii="Times New Roman" w:hAnsi="Times New Roman" w:cs="Times New Roman"/>
          <w:sz w:val="24"/>
          <w:szCs w:val="24"/>
        </w:rPr>
      </w:pPr>
    </w:p>
    <w:sectPr w:rsidR="00567DAD" w:rsidRPr="004F73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567B7F"/>
    <w:multiLevelType w:val="multilevel"/>
    <w:tmpl w:val="17D6D2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AC2630"/>
    <w:multiLevelType w:val="multilevel"/>
    <w:tmpl w:val="7C183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98149AC"/>
    <w:multiLevelType w:val="multilevel"/>
    <w:tmpl w:val="FD3CAF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5503378">
    <w:abstractNumId w:val="1"/>
  </w:num>
  <w:num w:numId="2" w16cid:durableId="1270048382">
    <w:abstractNumId w:val="0"/>
    <w:lvlOverride w:ilvl="0">
      <w:lvl w:ilvl="0">
        <w:numFmt w:val="decimal"/>
        <w:lvlText w:val="%1."/>
        <w:lvlJc w:val="left"/>
      </w:lvl>
    </w:lvlOverride>
  </w:num>
  <w:num w:numId="3" w16cid:durableId="1741512585">
    <w:abstractNumId w:val="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F9F"/>
    <w:rsid w:val="00044AE8"/>
    <w:rsid w:val="0006332E"/>
    <w:rsid w:val="00081404"/>
    <w:rsid w:val="000A25A4"/>
    <w:rsid w:val="000E5020"/>
    <w:rsid w:val="00254FC4"/>
    <w:rsid w:val="002F66F7"/>
    <w:rsid w:val="003263D6"/>
    <w:rsid w:val="00333F9F"/>
    <w:rsid w:val="00375677"/>
    <w:rsid w:val="003A0B9E"/>
    <w:rsid w:val="003A6C87"/>
    <w:rsid w:val="003A7FD0"/>
    <w:rsid w:val="003C18EF"/>
    <w:rsid w:val="004F6A73"/>
    <w:rsid w:val="004F73F1"/>
    <w:rsid w:val="005261D9"/>
    <w:rsid w:val="00567DAD"/>
    <w:rsid w:val="005930D3"/>
    <w:rsid w:val="006967C3"/>
    <w:rsid w:val="006B48F1"/>
    <w:rsid w:val="006C44F6"/>
    <w:rsid w:val="00784954"/>
    <w:rsid w:val="007D6E33"/>
    <w:rsid w:val="007F1C74"/>
    <w:rsid w:val="007F516C"/>
    <w:rsid w:val="00837361"/>
    <w:rsid w:val="00870EC9"/>
    <w:rsid w:val="00870FC8"/>
    <w:rsid w:val="00877BF6"/>
    <w:rsid w:val="008A2CBC"/>
    <w:rsid w:val="008A7238"/>
    <w:rsid w:val="00936F07"/>
    <w:rsid w:val="00976432"/>
    <w:rsid w:val="009E3099"/>
    <w:rsid w:val="00A07903"/>
    <w:rsid w:val="00A14258"/>
    <w:rsid w:val="00A14C28"/>
    <w:rsid w:val="00A168E3"/>
    <w:rsid w:val="00A901A5"/>
    <w:rsid w:val="00AD104D"/>
    <w:rsid w:val="00AD65FF"/>
    <w:rsid w:val="00B134C3"/>
    <w:rsid w:val="00B1589E"/>
    <w:rsid w:val="00B24DAF"/>
    <w:rsid w:val="00B30D1F"/>
    <w:rsid w:val="00B52462"/>
    <w:rsid w:val="00BA6787"/>
    <w:rsid w:val="00BD4BA2"/>
    <w:rsid w:val="00C10A17"/>
    <w:rsid w:val="00C425F0"/>
    <w:rsid w:val="00C54E4A"/>
    <w:rsid w:val="00CB00FC"/>
    <w:rsid w:val="00D334B0"/>
    <w:rsid w:val="00DA4A6C"/>
    <w:rsid w:val="00DC477B"/>
    <w:rsid w:val="00E332B8"/>
    <w:rsid w:val="00E72237"/>
    <w:rsid w:val="00EE26E1"/>
    <w:rsid w:val="00EE2814"/>
    <w:rsid w:val="00EF5F85"/>
    <w:rsid w:val="00F6473D"/>
    <w:rsid w:val="00FA2B93"/>
    <w:rsid w:val="00FA4D0B"/>
    <w:rsid w:val="00FC3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7B85D"/>
  <w15:chartTrackingRefBased/>
  <w15:docId w15:val="{564B0C2B-8767-406B-B905-87F479D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3F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3F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3F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3F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3F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3F9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3F9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3F9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3F9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F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3F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3F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3F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3F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3F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3F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3F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3F9F"/>
    <w:rPr>
      <w:rFonts w:eastAsiaTheme="majorEastAsia" w:cstheme="majorBidi"/>
      <w:color w:val="272727" w:themeColor="text1" w:themeTint="D8"/>
    </w:rPr>
  </w:style>
  <w:style w:type="paragraph" w:styleId="Title">
    <w:name w:val="Title"/>
    <w:basedOn w:val="Normal"/>
    <w:next w:val="Normal"/>
    <w:link w:val="TitleChar"/>
    <w:uiPriority w:val="10"/>
    <w:qFormat/>
    <w:rsid w:val="00333F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3F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3F9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3F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3F9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33F9F"/>
    <w:rPr>
      <w:i/>
      <w:iCs/>
      <w:color w:val="404040" w:themeColor="text1" w:themeTint="BF"/>
    </w:rPr>
  </w:style>
  <w:style w:type="paragraph" w:styleId="ListParagraph">
    <w:name w:val="List Paragraph"/>
    <w:basedOn w:val="Normal"/>
    <w:uiPriority w:val="34"/>
    <w:qFormat/>
    <w:rsid w:val="00333F9F"/>
    <w:pPr>
      <w:ind w:left="720"/>
      <w:contextualSpacing/>
    </w:pPr>
  </w:style>
  <w:style w:type="character" w:styleId="IntenseEmphasis">
    <w:name w:val="Intense Emphasis"/>
    <w:basedOn w:val="DefaultParagraphFont"/>
    <w:uiPriority w:val="21"/>
    <w:qFormat/>
    <w:rsid w:val="00333F9F"/>
    <w:rPr>
      <w:i/>
      <w:iCs/>
      <w:color w:val="0F4761" w:themeColor="accent1" w:themeShade="BF"/>
    </w:rPr>
  </w:style>
  <w:style w:type="paragraph" w:styleId="IntenseQuote">
    <w:name w:val="Intense Quote"/>
    <w:basedOn w:val="Normal"/>
    <w:next w:val="Normal"/>
    <w:link w:val="IntenseQuoteChar"/>
    <w:uiPriority w:val="30"/>
    <w:qFormat/>
    <w:rsid w:val="00333F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3F9F"/>
    <w:rPr>
      <w:i/>
      <w:iCs/>
      <w:color w:val="0F4761" w:themeColor="accent1" w:themeShade="BF"/>
    </w:rPr>
  </w:style>
  <w:style w:type="character" w:styleId="IntenseReference">
    <w:name w:val="Intense Reference"/>
    <w:basedOn w:val="DefaultParagraphFont"/>
    <w:uiPriority w:val="32"/>
    <w:qFormat/>
    <w:rsid w:val="00333F9F"/>
    <w:rPr>
      <w:b/>
      <w:bCs/>
      <w:smallCaps/>
      <w:color w:val="0F4761" w:themeColor="accent1" w:themeShade="BF"/>
      <w:spacing w:val="5"/>
    </w:rPr>
  </w:style>
  <w:style w:type="table" w:styleId="TableGrid">
    <w:name w:val="Table Grid"/>
    <w:basedOn w:val="TableNormal"/>
    <w:uiPriority w:val="59"/>
    <w:rsid w:val="00333F9F"/>
    <w:pPr>
      <w:spacing w:line="240" w:lineRule="auto"/>
    </w:pPr>
    <w:rPr>
      <w:rFonts w:eastAsia="MS Mincho"/>
      <w:kern w:val="0"/>
      <w:sz w:val="24"/>
      <w:szCs w:val="24"/>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67DAD"/>
    <w:rPr>
      <w:color w:val="467886" w:themeColor="hyperlink"/>
      <w:u w:val="single"/>
    </w:rPr>
  </w:style>
  <w:style w:type="character" w:styleId="UnresolvedMention">
    <w:name w:val="Unresolved Mention"/>
    <w:basedOn w:val="DefaultParagraphFont"/>
    <w:uiPriority w:val="99"/>
    <w:semiHidden/>
    <w:unhideWhenUsed/>
    <w:rsid w:val="00567D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811</Words>
  <Characters>4623</Characters>
  <Application>Microsoft Office Word</Application>
  <DocSecurity>0</DocSecurity>
  <Lines>38</Lines>
  <Paragraphs>10</Paragraphs>
  <ScaleCrop>false</ScaleCrop>
  <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Jewell</dc:creator>
  <cp:keywords/>
  <dc:description/>
  <cp:lastModifiedBy>Mace, Stephanie</cp:lastModifiedBy>
  <cp:revision>3</cp:revision>
  <dcterms:created xsi:type="dcterms:W3CDTF">2025-01-31T21:45:00Z</dcterms:created>
  <dcterms:modified xsi:type="dcterms:W3CDTF">2025-01-31T21:47:00Z</dcterms:modified>
</cp:coreProperties>
</file>